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F6" w:rsidRPr="0018005C" w:rsidRDefault="00F568F6" w:rsidP="00313B4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Голові Тальнівської районної ради </w:t>
      </w:r>
    </w:p>
    <w:p w:rsidR="00F568F6" w:rsidRPr="0018005C" w:rsidRDefault="00F568F6" w:rsidP="00313B4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Любомській В.О.</w:t>
      </w:r>
    </w:p>
    <w:p w:rsidR="00F568F6" w:rsidRPr="0018005C" w:rsidRDefault="00F568F6" w:rsidP="00313B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313B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313B4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18005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 ПРАВОВИЙ ВИСНОВОК </w:t>
      </w: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За наслідками проведеної правової експертизи проекту рішення </w:t>
      </w: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районної ради «Про Програму  вдосконалення  первинної  медико-санітарної  допомоги у Тальнівському  районі на 2018 – 2021 роки» зауваження  до проекту рішення та самої Програми – відсутні . </w:t>
      </w: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Проте, Програма передбачає  надання  фінансової підтримки  за рахунок   бюджетних коштів  суб»єктам  господарювання, які надають  первинну медико- санітарну допомогу в районі.   </w:t>
      </w:r>
    </w:p>
    <w:p w:rsidR="00F568F6" w:rsidRPr="0018005C" w:rsidRDefault="00F568F6" w:rsidP="00944F0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П</w:t>
      </w:r>
      <w:r w:rsidRPr="0018005C">
        <w:rPr>
          <w:rFonts w:ascii="Times New Roman" w:hAnsi="Times New Roman"/>
          <w:sz w:val="24"/>
          <w:szCs w:val="24"/>
        </w:rPr>
        <w:t>унктом 15 частини першої статті 1 Закону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 України «Про державну допомогу  суб»єктам господарювання» </w:t>
      </w:r>
      <w:r w:rsidRPr="0018005C">
        <w:rPr>
          <w:rFonts w:ascii="Times New Roman" w:hAnsi="Times New Roman"/>
          <w:sz w:val="24"/>
          <w:szCs w:val="24"/>
        </w:rPr>
        <w:t xml:space="preserve"> встановлено, що програма державної допомоги – 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це </w:t>
      </w:r>
      <w:r w:rsidRPr="0018005C">
        <w:rPr>
          <w:rFonts w:ascii="Times New Roman" w:hAnsi="Times New Roman"/>
          <w:sz w:val="24"/>
          <w:szCs w:val="24"/>
        </w:rPr>
        <w:t xml:space="preserve">нормативно-правовий акт або сукупність актів, на підставі яких певним категоріям суб’єктів господарювання передбачається надання державної допомоги впродовж певного або невизначеного періоду у визначеному або невизначеному розмірі. </w:t>
      </w:r>
    </w:p>
    <w:p w:rsidR="00F568F6" w:rsidRPr="0018005C" w:rsidRDefault="00F568F6" w:rsidP="00944F0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Антимонопольний комітет України у роз»ясненні  від </w:t>
      </w:r>
      <w:r w:rsidRPr="0018005C">
        <w:rPr>
          <w:rFonts w:ascii="Times New Roman" w:hAnsi="Times New Roman"/>
          <w:sz w:val="24"/>
          <w:szCs w:val="24"/>
        </w:rPr>
        <w:t>05 жовтня 2017 р.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 за № </w:t>
      </w:r>
      <w:r w:rsidRPr="0018005C">
        <w:rPr>
          <w:rFonts w:ascii="Times New Roman" w:hAnsi="Times New Roman"/>
          <w:sz w:val="24"/>
          <w:szCs w:val="24"/>
        </w:rPr>
        <w:t>35-рр/дд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18005C">
        <w:rPr>
          <w:rFonts w:ascii="Times New Roman" w:hAnsi="Times New Roman"/>
          <w:sz w:val="24"/>
          <w:szCs w:val="24"/>
        </w:rPr>
        <w:t>Про застосування законодавства у сфері державної допомоги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» з цього питання встановив наступне:   </w:t>
      </w:r>
    </w:p>
    <w:p w:rsidR="00F96A6D" w:rsidRPr="0018005C" w:rsidRDefault="00F568F6" w:rsidP="00944F0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8005C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18005C">
        <w:rPr>
          <w:rFonts w:ascii="Times New Roman" w:hAnsi="Times New Roman"/>
          <w:b/>
          <w:sz w:val="24"/>
          <w:szCs w:val="24"/>
        </w:rPr>
        <w:t xml:space="preserve"> Отже, рішеннями органів місцевого самоврядування про надання державної допомоги вважаються будь-які нормативно-правові акти, що приймаються органами місцевого самоврядування та на підставі яких певним категоріям суб’єктів господарювання передбачається надання державної допомоги впродовж певного або невизначеного періоду у визначеному або невизначеному розмірі. Крім того, </w:t>
      </w:r>
      <w:proofErr w:type="gramStart"/>
      <w:r w:rsidRPr="0018005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8005C">
        <w:rPr>
          <w:rFonts w:ascii="Times New Roman" w:hAnsi="Times New Roman"/>
          <w:b/>
          <w:sz w:val="24"/>
          <w:szCs w:val="24"/>
        </w:rPr>
        <w:t xml:space="preserve">ішення органів місцевого самоврядування про надання державної допомоги вважаються такими, якщо одночасно виконуються такі умови: </w:t>
      </w:r>
    </w:p>
    <w:p w:rsidR="00F96A6D" w:rsidRPr="0018005C" w:rsidRDefault="00F568F6" w:rsidP="00944F0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005C">
        <w:rPr>
          <w:rFonts w:ascii="Times New Roman" w:hAnsi="Times New Roman"/>
          <w:b/>
          <w:sz w:val="24"/>
          <w:szCs w:val="24"/>
          <w:lang w:val="uk-UA"/>
        </w:rPr>
        <w:t xml:space="preserve">- підтримка надається суб’єкту господарювання; </w:t>
      </w:r>
    </w:p>
    <w:p w:rsidR="00F96A6D" w:rsidRPr="0018005C" w:rsidRDefault="00F568F6" w:rsidP="00944F0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005C">
        <w:rPr>
          <w:rFonts w:ascii="Times New Roman" w:hAnsi="Times New Roman"/>
          <w:b/>
          <w:sz w:val="24"/>
          <w:szCs w:val="24"/>
          <w:lang w:val="uk-UA"/>
        </w:rPr>
        <w:t xml:space="preserve">- фінансування державної підтримки здійснюється за рахунок ресурсів держави чи місцевих ресурсів; </w:t>
      </w:r>
    </w:p>
    <w:p w:rsidR="00F96A6D" w:rsidRPr="0018005C" w:rsidRDefault="00F568F6" w:rsidP="00944F0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005C">
        <w:rPr>
          <w:rFonts w:ascii="Times New Roman" w:hAnsi="Times New Roman"/>
          <w:b/>
          <w:sz w:val="24"/>
          <w:szCs w:val="24"/>
          <w:lang w:val="uk-UA"/>
        </w:rPr>
        <w:t>- підтримка створює переваги для виробництва окремих видів товарів чи провадження окремих видів господарської діяльності;</w:t>
      </w:r>
    </w:p>
    <w:p w:rsidR="00F568F6" w:rsidRPr="0018005C" w:rsidRDefault="00F568F6" w:rsidP="00944F0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005C">
        <w:rPr>
          <w:rFonts w:ascii="Times New Roman" w:hAnsi="Times New Roman"/>
          <w:b/>
          <w:sz w:val="24"/>
          <w:szCs w:val="24"/>
          <w:lang w:val="uk-UA"/>
        </w:rPr>
        <w:t xml:space="preserve"> - підтримка спотворює або загрожує спотворенням економічної конкуренції».</w:t>
      </w: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68F6" w:rsidRPr="0018005C" w:rsidRDefault="00F568F6" w:rsidP="00944F0F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  <w:r w:rsidRPr="0018005C">
        <w:rPr>
          <w:lang w:val="uk-UA"/>
        </w:rPr>
        <w:t>Відповідно до с</w:t>
      </w:r>
      <w:r w:rsidRPr="0018005C">
        <w:rPr>
          <w:rStyle w:val="rvts9"/>
          <w:bCs/>
          <w:color w:val="000000"/>
          <w:lang w:val="uk-UA"/>
        </w:rPr>
        <w:t>татті 9 Закону України «Про державну допомогу  суб»єктам господарювання</w:t>
      </w:r>
      <w:bookmarkStart w:id="0" w:name="n110"/>
      <w:bookmarkEnd w:id="0"/>
      <w:r w:rsidRPr="0018005C">
        <w:rPr>
          <w:rStyle w:val="rvts9"/>
          <w:bCs/>
          <w:color w:val="000000"/>
          <w:lang w:val="uk-UA"/>
        </w:rPr>
        <w:t>», н</w:t>
      </w:r>
      <w:r w:rsidRPr="0018005C">
        <w:rPr>
          <w:lang w:val="uk-UA"/>
        </w:rPr>
        <w:t>адавачі державної допомоги  мають подати  повідомлення про нову державну допомогу до Антимонопольного комітету України.</w:t>
      </w: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   Згідно з пунктом шостим частини першої статті 1  вищезазначеного Закону надавачі державної допомоги – органи влади, органи місцевого самоврядування, органи адміністративно-господарського управління та контролю, а також юридичні особи, що діють від їх імені, </w:t>
      </w:r>
      <w:r w:rsidRPr="0018005C">
        <w:rPr>
          <w:rFonts w:ascii="Times New Roman" w:hAnsi="Times New Roman"/>
          <w:b/>
          <w:sz w:val="24"/>
          <w:szCs w:val="24"/>
          <w:u w:val="single"/>
          <w:lang w:val="uk-UA"/>
        </w:rPr>
        <w:t>уповноважені розпоряджатися ресурсами держави чи місцевими ресурсами і ініціюють та/або надають державну допомогу.</w:t>
      </w:r>
    </w:p>
    <w:p w:rsidR="00F568F6" w:rsidRPr="0018005C" w:rsidRDefault="00F568F6" w:rsidP="00AB4B11">
      <w:pPr>
        <w:spacing w:after="0"/>
        <w:jc w:val="both"/>
        <w:rPr>
          <w:rFonts w:ascii="Times New Roman" w:hAnsi="Times New Roman"/>
          <w:b/>
          <w:sz w:val="24"/>
          <w:szCs w:val="24"/>
          <w:u w:val="thick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При цьому, Антимонопольний Комітет України роз»яснив,  т</w:t>
      </w:r>
      <w:r w:rsidRPr="0018005C">
        <w:rPr>
          <w:rFonts w:ascii="Times New Roman" w:hAnsi="Times New Roman"/>
          <w:sz w:val="24"/>
          <w:szCs w:val="24"/>
        </w:rPr>
        <w:t xml:space="preserve">ермін «уповноважений розпоряджатись ресурсами держави та місцевими ресурсами» не передбачає обов’язкового фактичного володіння ними відповідно до бюджетних програм та кошторису. </w:t>
      </w:r>
      <w:r w:rsidRPr="0018005C">
        <w:rPr>
          <w:rFonts w:ascii="Times New Roman" w:hAnsi="Times New Roman"/>
          <w:b/>
          <w:sz w:val="24"/>
          <w:szCs w:val="24"/>
          <w:u w:val="thick"/>
        </w:rPr>
        <w:t>Орган державної влади може розпоряджатися державними коштами, однак не володіти ними.</w:t>
      </w:r>
    </w:p>
    <w:p w:rsidR="00F568F6" w:rsidRPr="0018005C" w:rsidRDefault="00F568F6" w:rsidP="00D73E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   Щодо необхідності погодження з Комітетом цільових Програм щодо фінансової підтримки комунальних підприємств Антимонопольний комітет України у роз»ясненні  від 05 жовтня 2017 р. за № 35-рр/дд зазначив наступне :</w:t>
      </w:r>
    </w:p>
    <w:p w:rsidR="00F568F6" w:rsidRPr="0018005C" w:rsidRDefault="00F568F6" w:rsidP="00D73EE8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  « Відповідно до частини першої статті 3 Закону дія Закону поширюється на будь-яку підтримку суб’єктів господарювання надавачами державної допомоги за рахунок ресурсів держави чи місцевих ресурсів для виробництва товарів або провадження окремих видів господарської діяльності, крім випадків, передбачених частиною другою статті 3 Закону. </w:t>
      </w:r>
      <w:r w:rsidRPr="0018005C">
        <w:rPr>
          <w:rFonts w:ascii="Times New Roman" w:hAnsi="Times New Roman"/>
          <w:b/>
          <w:sz w:val="24"/>
          <w:szCs w:val="24"/>
          <w:u w:val="thick"/>
          <w:lang w:val="uk-UA"/>
        </w:rPr>
        <w:t xml:space="preserve">Отже, у разі розроблення окремої цільової Програми щодо фінансової підтримки комунальних підприємств така програма підлягає повідомленню </w:t>
      </w:r>
      <w:r w:rsidRPr="0018005C">
        <w:rPr>
          <w:rFonts w:ascii="Times New Roman" w:hAnsi="Times New Roman"/>
          <w:b/>
          <w:sz w:val="24"/>
          <w:szCs w:val="24"/>
          <w:u w:val="thick"/>
        </w:rPr>
        <w:t>Уповноваженому органу для прийняття рішення про її допустимість для економічної конкуренції.</w:t>
      </w:r>
      <w:r w:rsidRPr="0018005C">
        <w:rPr>
          <w:rFonts w:ascii="Times New Roman" w:hAnsi="Times New Roman"/>
          <w:sz w:val="24"/>
          <w:szCs w:val="24"/>
        </w:rPr>
        <w:t xml:space="preserve"> </w:t>
      </w:r>
      <w:r w:rsidRPr="0018005C">
        <w:rPr>
          <w:rFonts w:ascii="Times New Roman" w:hAnsi="Times New Roman"/>
          <w:b/>
          <w:sz w:val="24"/>
          <w:szCs w:val="24"/>
        </w:rPr>
        <w:t xml:space="preserve">Подання повідомлення, його розгляд та розгляд справи про державну допомогу здійснюються </w:t>
      </w:r>
      <w:proofErr w:type="gramStart"/>
      <w:r w:rsidRPr="0018005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800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005C">
        <w:rPr>
          <w:rFonts w:ascii="Times New Roman" w:hAnsi="Times New Roman"/>
          <w:b/>
          <w:sz w:val="24"/>
          <w:szCs w:val="24"/>
        </w:rPr>
        <w:t>порядку</w:t>
      </w:r>
      <w:proofErr w:type="gramEnd"/>
      <w:r w:rsidRPr="0018005C">
        <w:rPr>
          <w:rFonts w:ascii="Times New Roman" w:hAnsi="Times New Roman"/>
          <w:b/>
          <w:sz w:val="24"/>
          <w:szCs w:val="24"/>
        </w:rPr>
        <w:t>, визначеному розділом 4 Закону</w:t>
      </w:r>
      <w:r w:rsidRPr="0018005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18005C">
        <w:rPr>
          <w:b/>
          <w:sz w:val="24"/>
          <w:szCs w:val="24"/>
        </w:rPr>
        <w:t xml:space="preserve"> </w:t>
      </w:r>
      <w:r w:rsidRPr="0018005C">
        <w:rPr>
          <w:rFonts w:ascii="Times New Roman" w:hAnsi="Times New Roman"/>
          <w:b/>
          <w:sz w:val="24"/>
          <w:szCs w:val="24"/>
        </w:rPr>
        <w:t>Порядок подання та оформлення повідомлень про нову державну допомогу та про внесення змі</w:t>
      </w:r>
      <w:proofErr w:type="gramStart"/>
      <w:r w:rsidRPr="0018005C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18005C">
        <w:rPr>
          <w:rFonts w:ascii="Times New Roman" w:hAnsi="Times New Roman"/>
          <w:b/>
          <w:sz w:val="24"/>
          <w:szCs w:val="24"/>
        </w:rPr>
        <w:t xml:space="preserve"> до умов чинної державної допомоги затверджено Порядком 2-рп.</w:t>
      </w: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</w:pPr>
      <w:r w:rsidRPr="0018005C">
        <w:rPr>
          <w:lang w:val="uk-UA"/>
        </w:rPr>
        <w:t xml:space="preserve">Відповідно до частин </w:t>
      </w:r>
      <w:r w:rsidRPr="0018005C">
        <w:t>5</w:t>
      </w:r>
      <w:r w:rsidRPr="0018005C">
        <w:rPr>
          <w:lang w:val="uk-UA"/>
        </w:rPr>
        <w:t>, 6 , 7 статті 10 вищезазначеного Закону , р</w:t>
      </w:r>
      <w:r w:rsidRPr="0018005C">
        <w:t xml:space="preserve">ішення за результатами розгляду повідомлення про нову державну допомогу приймається </w:t>
      </w:r>
      <w:r w:rsidRPr="0018005C">
        <w:rPr>
          <w:lang w:val="uk-UA"/>
        </w:rPr>
        <w:t xml:space="preserve">Антимонопольним комітетом </w:t>
      </w:r>
      <w:r w:rsidRPr="0018005C">
        <w:t>протягом двох місяців з дня початку його розгляду.</w:t>
      </w: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</w:pPr>
      <w:bookmarkStart w:id="1" w:name="n129"/>
      <w:bookmarkEnd w:id="1"/>
      <w:r w:rsidRPr="0018005C">
        <w:t xml:space="preserve"> За результатами розгляду повідомлення про нову державну допомогу </w:t>
      </w:r>
      <w:r w:rsidRPr="0018005C">
        <w:rPr>
          <w:lang w:val="uk-UA"/>
        </w:rPr>
        <w:t>Антимонопольний комітет</w:t>
      </w:r>
      <w:r w:rsidRPr="0018005C">
        <w:t xml:space="preserve"> у встановленому ним порядку приймає </w:t>
      </w:r>
      <w:proofErr w:type="gramStart"/>
      <w:r w:rsidRPr="0018005C">
        <w:t>р</w:t>
      </w:r>
      <w:proofErr w:type="gramEnd"/>
      <w:r w:rsidRPr="0018005C">
        <w:t>ішення про:</w:t>
      </w: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</w:pPr>
      <w:bookmarkStart w:id="2" w:name="n130"/>
      <w:bookmarkEnd w:id="2"/>
      <w:r w:rsidRPr="0018005C">
        <w:t>1) допустимість нової державної допомоги для конкуренції;</w:t>
      </w: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</w:pPr>
      <w:bookmarkStart w:id="3" w:name="n131"/>
      <w:bookmarkEnd w:id="3"/>
      <w:r w:rsidRPr="0018005C">
        <w:t xml:space="preserve">2) визнання </w:t>
      </w:r>
      <w:proofErr w:type="gramStart"/>
      <w:r w:rsidRPr="0018005C">
        <w:t>п</w:t>
      </w:r>
      <w:proofErr w:type="gramEnd"/>
      <w:r w:rsidRPr="0018005C">
        <w:t>ідтримки суб’єкта господарювання, зазначеної у повідомленні, такою, що не є державною допомогою відповідно до цього Закону;</w:t>
      </w: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</w:pPr>
      <w:bookmarkStart w:id="4" w:name="n132"/>
      <w:bookmarkEnd w:id="4"/>
      <w:r w:rsidRPr="0018005C">
        <w:t>3) початок розгляду справи про державну допомогу.</w:t>
      </w:r>
    </w:p>
    <w:p w:rsidR="00F568F6" w:rsidRPr="0018005C" w:rsidRDefault="00F568F6" w:rsidP="00220B40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  <w:bookmarkStart w:id="5" w:name="n133"/>
      <w:bookmarkEnd w:id="5"/>
      <w:r w:rsidRPr="0018005C">
        <w:t xml:space="preserve"> Якщо протягом строку розгляду повідомлення про нову державну допомогу, встановленого частиною п’ятою цієї статті, Уповноважений орган не розпочав розгляду справи про державну допомогу, </w:t>
      </w:r>
      <w:proofErr w:type="gramStart"/>
      <w:r w:rsidRPr="0018005C">
        <w:t>р</w:t>
      </w:r>
      <w:proofErr w:type="gramEnd"/>
      <w:r w:rsidRPr="0018005C">
        <w:t>ішення про допустимість нової державної допомоги для конкуренції вважається прийнятим.</w:t>
      </w:r>
    </w:p>
    <w:p w:rsidR="00EF0F5C" w:rsidRPr="0018005C" w:rsidRDefault="00F96A6D" w:rsidP="00EF0F5C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  <w:r w:rsidRPr="0018005C">
        <w:rPr>
          <w:lang w:val="uk-UA"/>
        </w:rPr>
        <w:t xml:space="preserve">Крім цього,  пунктом 2 </w:t>
      </w:r>
      <w:r w:rsidR="00667B28" w:rsidRPr="0018005C">
        <w:rPr>
          <w:lang w:val="uk-UA"/>
        </w:rPr>
        <w:t xml:space="preserve">Положення про порядок погодження з органами Антимонопольного комітету України рішень органів влади, органів </w:t>
      </w:r>
      <w:r w:rsidR="00667B28" w:rsidRPr="0018005C">
        <w:rPr>
          <w:lang w:val="uk-UA"/>
        </w:rPr>
        <w:br/>
        <w:t xml:space="preserve">адміністративно-господарського управління та контролю, органів місцевого самоврядування щодо демонополізації  економіки, розвитку конкуренції та  антимонопольного регулювання, затвердженого  розпорядженням Антимонопольного    комітету України від  1  квітня  1994 р. </w:t>
      </w:r>
      <w:r w:rsidR="00667B28" w:rsidRPr="0018005C">
        <w:t>N</w:t>
      </w:r>
      <w:r w:rsidR="00667B28" w:rsidRPr="0018005C">
        <w:rPr>
          <w:lang w:val="uk-UA"/>
        </w:rPr>
        <w:t xml:space="preserve"> 4-р із змінами </w:t>
      </w:r>
      <w:r w:rsidR="00EF0F5C" w:rsidRPr="0018005C">
        <w:rPr>
          <w:lang w:val="uk-UA"/>
        </w:rPr>
        <w:t xml:space="preserve">визначено перелік </w:t>
      </w:r>
      <w:proofErr w:type="gramStart"/>
      <w:r w:rsidR="00EF0F5C" w:rsidRPr="0018005C">
        <w:rPr>
          <w:lang w:val="uk-UA"/>
        </w:rPr>
        <w:t>р</w:t>
      </w:r>
      <w:proofErr w:type="gramEnd"/>
      <w:r w:rsidR="00EF0F5C" w:rsidRPr="0018005C">
        <w:rPr>
          <w:lang w:val="uk-UA"/>
        </w:rPr>
        <w:t>ішень, в тому числі органів місцевого самоврядування, що підлягають погодженню з Антимонопольним  комітетом.</w:t>
      </w:r>
    </w:p>
    <w:p w:rsidR="00EF0F5C" w:rsidRDefault="00EF0F5C" w:rsidP="00EF0F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05C">
        <w:rPr>
          <w:rFonts w:ascii="Times New Roman" w:hAnsi="Times New Roman" w:cs="Times New Roman"/>
          <w:sz w:val="24"/>
          <w:szCs w:val="24"/>
          <w:lang w:val="uk-UA"/>
        </w:rPr>
        <w:t xml:space="preserve">       До  вказаного переліку входять рішення про  </w:t>
      </w:r>
      <w:r w:rsidRPr="0018005C">
        <w:rPr>
          <w:rFonts w:ascii="Times New Roman" w:hAnsi="Times New Roman" w:cs="Times New Roman"/>
          <w:sz w:val="24"/>
          <w:szCs w:val="24"/>
        </w:rPr>
        <w:t>затвердження комплексних</w:t>
      </w:r>
      <w:r w:rsidRPr="0018005C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Pr="0018005C">
        <w:rPr>
          <w:rFonts w:ascii="Times New Roman" w:hAnsi="Times New Roman" w:cs="Times New Roman"/>
          <w:sz w:val="24"/>
          <w:szCs w:val="24"/>
        </w:rPr>
        <w:t>ограм стосовно  розвитку</w:t>
      </w:r>
      <w:r w:rsidRPr="0018005C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18005C">
        <w:rPr>
          <w:rFonts w:ascii="Times New Roman" w:hAnsi="Times New Roman" w:cs="Times New Roman"/>
          <w:sz w:val="24"/>
          <w:szCs w:val="24"/>
        </w:rPr>
        <w:t>алузей, регіонів, окремих секторів економіки</w:t>
      </w:r>
      <w:r w:rsidRPr="001800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005C" w:rsidRPr="0018005C" w:rsidRDefault="0018005C" w:rsidP="00EF0F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8F6" w:rsidRPr="0018005C" w:rsidRDefault="00667B28" w:rsidP="00EF0F5C">
      <w:pPr>
        <w:pStyle w:val="rvps2"/>
        <w:spacing w:before="0" w:beforeAutospacing="0" w:after="150" w:afterAutospacing="0"/>
        <w:ind w:firstLine="450"/>
        <w:jc w:val="both"/>
        <w:rPr>
          <w:b/>
          <w:i/>
          <w:lang w:val="uk-UA"/>
        </w:rPr>
      </w:pPr>
      <w:r w:rsidRPr="0018005C">
        <w:rPr>
          <w:lang w:val="uk-UA"/>
        </w:rPr>
        <w:lastRenderedPageBreak/>
        <w:br/>
        <w:t xml:space="preserve"> </w:t>
      </w:r>
      <w:r w:rsidR="00EF0F5C" w:rsidRPr="0018005C">
        <w:rPr>
          <w:b/>
          <w:i/>
          <w:lang w:val="uk-UA"/>
        </w:rPr>
        <w:t xml:space="preserve"> ВИСНОВОК : </w:t>
      </w:r>
      <w:r w:rsidR="00F568F6" w:rsidRPr="0018005C">
        <w:rPr>
          <w:b/>
          <w:i/>
          <w:lang w:val="uk-UA"/>
        </w:rPr>
        <w:t xml:space="preserve"> У  внесеному  райдержадміністрацією  пакеті документів  не  зазначено , що  РДА, як орган влади, який  уповноважений  розпоряджатися місцевими ресурсами і який  ініціює  та  має надавати   державну допомогу  суб»єкту господарювання надіслав  до Антимонопольного комітету України  проект  Програми та   повідомлення про нову державну допомогу  для розгляду та прийняття відповідного рішення. </w:t>
      </w:r>
    </w:p>
    <w:p w:rsidR="00F568F6" w:rsidRPr="0018005C" w:rsidRDefault="00F568F6" w:rsidP="00EF0F5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8005C">
        <w:rPr>
          <w:rFonts w:ascii="Times New Roman" w:hAnsi="Times New Roman"/>
          <w:b/>
          <w:i/>
          <w:sz w:val="24"/>
          <w:szCs w:val="24"/>
          <w:lang w:val="uk-UA"/>
        </w:rPr>
        <w:t xml:space="preserve">       Ні в  супроводжувальному   листі, ні в пояснювальній записці не зазначено клопотання про розгляд поданої Програми  без відповідного  рішення Антимонопольного комітету та про можливість внесення  до неї змін за пропозицією Антимонопольного комітету. </w:t>
      </w:r>
    </w:p>
    <w:p w:rsidR="00F568F6" w:rsidRPr="0018005C" w:rsidRDefault="00F568F6" w:rsidP="00EF0F5C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491E14">
      <w:pPr>
        <w:pStyle w:val="a8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 xml:space="preserve">      Крім того,   </w:t>
      </w:r>
      <w:r w:rsidR="00406F1E" w:rsidRPr="0018005C">
        <w:rPr>
          <w:rFonts w:ascii="Times New Roman" w:hAnsi="Times New Roman"/>
          <w:sz w:val="24"/>
          <w:szCs w:val="24"/>
          <w:lang w:val="uk-UA"/>
        </w:rPr>
        <w:t xml:space="preserve">оскільки існує  діюча 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  районна   програма</w:t>
      </w:r>
      <w:r w:rsidR="00406F1E" w:rsidRPr="0018005C">
        <w:rPr>
          <w:sz w:val="24"/>
          <w:szCs w:val="24"/>
          <w:lang w:val="uk-UA"/>
        </w:rPr>
        <w:t xml:space="preserve">    </w:t>
      </w:r>
      <w:r w:rsidR="00406F1E" w:rsidRPr="0018005C">
        <w:rPr>
          <w:rFonts w:ascii="Times New Roman" w:hAnsi="Times New Roman"/>
          <w:sz w:val="24"/>
          <w:szCs w:val="24"/>
          <w:lang w:val="uk-UA"/>
        </w:rPr>
        <w:t>розвитку первинної медико-санітарної  допомоги  населенню Тальнівщини на засадах  загальної практики сімейної медицини  на 2018-2022 роки</w:t>
      </w:r>
      <w:r w:rsidRPr="0018005C">
        <w:rPr>
          <w:rFonts w:ascii="Times New Roman" w:hAnsi="Times New Roman"/>
          <w:sz w:val="24"/>
          <w:szCs w:val="24"/>
          <w:lang w:val="uk-UA"/>
        </w:rPr>
        <w:t>, затверд</w:t>
      </w:r>
      <w:r w:rsidR="00406F1E" w:rsidRPr="0018005C">
        <w:rPr>
          <w:rFonts w:ascii="Times New Roman" w:hAnsi="Times New Roman"/>
          <w:sz w:val="24"/>
          <w:szCs w:val="24"/>
          <w:lang w:val="uk-UA"/>
        </w:rPr>
        <w:t>жена рішенням районної ради від</w:t>
      </w:r>
      <w:r w:rsidRPr="001800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6F1E" w:rsidRPr="0018005C">
        <w:rPr>
          <w:rFonts w:ascii="Times New Roman" w:hAnsi="Times New Roman"/>
          <w:sz w:val="24"/>
          <w:szCs w:val="24"/>
          <w:lang w:val="uk-UA"/>
        </w:rPr>
        <w:t xml:space="preserve">23.02.2018 № 22-11/УІІ </w:t>
      </w:r>
      <w:r w:rsidRPr="0018005C">
        <w:rPr>
          <w:rFonts w:ascii="Times New Roman" w:hAnsi="Times New Roman"/>
          <w:sz w:val="24"/>
          <w:szCs w:val="24"/>
          <w:lang w:val="uk-UA"/>
        </w:rPr>
        <w:t>, але  основні її  положення  відображені  в поданій для розгляду  програмі, доцільно  визнати таким, що втратило чинність рішення районної ради .</w:t>
      </w:r>
    </w:p>
    <w:p w:rsidR="00F568F6" w:rsidRPr="0018005C" w:rsidRDefault="00F568F6" w:rsidP="00491E14">
      <w:pPr>
        <w:pStyle w:val="a8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491E14">
      <w:pPr>
        <w:pStyle w:val="a8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491E14">
      <w:pPr>
        <w:pStyle w:val="a8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568F6" w:rsidRPr="0018005C" w:rsidRDefault="00F568F6" w:rsidP="00491E14">
      <w:pPr>
        <w:pStyle w:val="a8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18005C">
        <w:rPr>
          <w:rFonts w:ascii="Times New Roman" w:hAnsi="Times New Roman"/>
          <w:sz w:val="24"/>
          <w:szCs w:val="24"/>
          <w:lang w:val="uk-UA"/>
        </w:rPr>
        <w:t>29.11.2018 р.                                                                  Белявська Л.Г.</w:t>
      </w:r>
    </w:p>
    <w:p w:rsidR="00F568F6" w:rsidRPr="0018005C" w:rsidRDefault="00F568F6" w:rsidP="00961DF0">
      <w:pPr>
        <w:pStyle w:val="a8"/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</w:p>
    <w:sectPr w:rsidR="00F568F6" w:rsidRPr="0018005C" w:rsidSect="005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382"/>
    <w:multiLevelType w:val="multilevel"/>
    <w:tmpl w:val="167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6CEC"/>
    <w:multiLevelType w:val="multilevel"/>
    <w:tmpl w:val="B21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0C7"/>
    <w:multiLevelType w:val="multilevel"/>
    <w:tmpl w:val="3BC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2227"/>
    <w:multiLevelType w:val="multilevel"/>
    <w:tmpl w:val="B1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D6015"/>
    <w:multiLevelType w:val="hybridMultilevel"/>
    <w:tmpl w:val="EE340212"/>
    <w:lvl w:ilvl="0" w:tplc="46E8A01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43BC4941"/>
    <w:multiLevelType w:val="multilevel"/>
    <w:tmpl w:val="142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B0228"/>
    <w:multiLevelType w:val="hybridMultilevel"/>
    <w:tmpl w:val="56D47364"/>
    <w:lvl w:ilvl="0" w:tplc="E390A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554E0"/>
    <w:multiLevelType w:val="multilevel"/>
    <w:tmpl w:val="9D1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E6"/>
    <w:rsid w:val="00057006"/>
    <w:rsid w:val="00071B82"/>
    <w:rsid w:val="0018005C"/>
    <w:rsid w:val="00187ED8"/>
    <w:rsid w:val="001F2B56"/>
    <w:rsid w:val="00217A4B"/>
    <w:rsid w:val="00220B40"/>
    <w:rsid w:val="00233944"/>
    <w:rsid w:val="00265438"/>
    <w:rsid w:val="00282EB6"/>
    <w:rsid w:val="00313B43"/>
    <w:rsid w:val="00383032"/>
    <w:rsid w:val="00406F1E"/>
    <w:rsid w:val="00415371"/>
    <w:rsid w:val="004245C1"/>
    <w:rsid w:val="00491E14"/>
    <w:rsid w:val="005210D0"/>
    <w:rsid w:val="00527192"/>
    <w:rsid w:val="005616FA"/>
    <w:rsid w:val="00586FE6"/>
    <w:rsid w:val="005D297C"/>
    <w:rsid w:val="005E603B"/>
    <w:rsid w:val="005F0EE9"/>
    <w:rsid w:val="00606CFC"/>
    <w:rsid w:val="006303F5"/>
    <w:rsid w:val="006322D6"/>
    <w:rsid w:val="00667B28"/>
    <w:rsid w:val="007E558B"/>
    <w:rsid w:val="00876912"/>
    <w:rsid w:val="008A7864"/>
    <w:rsid w:val="00944F0F"/>
    <w:rsid w:val="0094731F"/>
    <w:rsid w:val="009506A0"/>
    <w:rsid w:val="00961DF0"/>
    <w:rsid w:val="00A10308"/>
    <w:rsid w:val="00A60236"/>
    <w:rsid w:val="00AB4B11"/>
    <w:rsid w:val="00B73FB0"/>
    <w:rsid w:val="00B87EBA"/>
    <w:rsid w:val="00BB3C1F"/>
    <w:rsid w:val="00CC5295"/>
    <w:rsid w:val="00D31F03"/>
    <w:rsid w:val="00D73EE8"/>
    <w:rsid w:val="00E13530"/>
    <w:rsid w:val="00EF0F5C"/>
    <w:rsid w:val="00F568F6"/>
    <w:rsid w:val="00F80AFC"/>
    <w:rsid w:val="00F96A6D"/>
    <w:rsid w:val="00F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586F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6FE6"/>
    <w:rPr>
      <w:rFonts w:ascii="Times New Roman" w:hAnsi="Times New Roman" w:cs="Times New Roman"/>
      <w:b/>
      <w:bCs/>
      <w:sz w:val="27"/>
      <w:szCs w:val="27"/>
    </w:rPr>
  </w:style>
  <w:style w:type="character" w:customStyle="1" w:styleId="up">
    <w:name w:val="up"/>
    <w:basedOn w:val="a0"/>
    <w:uiPriority w:val="99"/>
    <w:rsid w:val="00586FE6"/>
    <w:rPr>
      <w:rFonts w:cs="Times New Roman"/>
    </w:rPr>
  </w:style>
  <w:style w:type="character" w:customStyle="1" w:styleId="date">
    <w:name w:val="date"/>
    <w:basedOn w:val="a0"/>
    <w:uiPriority w:val="99"/>
    <w:rsid w:val="00586FE6"/>
    <w:rPr>
      <w:rFonts w:cs="Times New Roman"/>
    </w:rPr>
  </w:style>
  <w:style w:type="character" w:styleId="a3">
    <w:name w:val="Strong"/>
    <w:basedOn w:val="a0"/>
    <w:uiPriority w:val="99"/>
    <w:qFormat/>
    <w:rsid w:val="00586FE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text-kom">
    <w:name w:val="content-text-kom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586FE6"/>
    <w:rPr>
      <w:rFonts w:cs="Times New Roman"/>
      <w:color w:val="0000FF"/>
      <w:u w:val="single"/>
    </w:rPr>
  </w:style>
  <w:style w:type="paragraph" w:customStyle="1" w:styleId="articleauthor">
    <w:name w:val="articleauthor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text">
    <w:name w:val="articletext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noska-bok">
    <w:name w:val="snoska-bok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vin">
    <w:name w:val="articlevin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vin-line-top">
    <w:name w:val="articlevin-line-top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zag">
    <w:name w:val="pozag"/>
    <w:basedOn w:val="a0"/>
    <w:uiPriority w:val="99"/>
    <w:rsid w:val="00586FE6"/>
    <w:rPr>
      <w:rFonts w:cs="Times New Roman"/>
    </w:rPr>
  </w:style>
  <w:style w:type="character" w:customStyle="1" w:styleId="subtitle2">
    <w:name w:val="subtitle2"/>
    <w:basedOn w:val="a0"/>
    <w:uiPriority w:val="99"/>
    <w:rsid w:val="00586FE6"/>
    <w:rPr>
      <w:rFonts w:cs="Times New Roman"/>
    </w:rPr>
  </w:style>
  <w:style w:type="character" w:customStyle="1" w:styleId="red">
    <w:name w:val="red"/>
    <w:basedOn w:val="a0"/>
    <w:uiPriority w:val="99"/>
    <w:rsid w:val="00586FE6"/>
    <w:rPr>
      <w:rFonts w:cs="Times New Roman"/>
    </w:rPr>
  </w:style>
  <w:style w:type="character" w:customStyle="1" w:styleId="char-style-override-5">
    <w:name w:val="char-style-override-5"/>
    <w:basedOn w:val="a0"/>
    <w:uiPriority w:val="99"/>
    <w:rsid w:val="00586FE6"/>
    <w:rPr>
      <w:rFonts w:cs="Times New Roman"/>
    </w:rPr>
  </w:style>
  <w:style w:type="character" w:customStyle="1" w:styleId="char-style-override-4">
    <w:name w:val="char-style-override-4"/>
    <w:basedOn w:val="a0"/>
    <w:uiPriority w:val="99"/>
    <w:rsid w:val="00586FE6"/>
    <w:rPr>
      <w:rFonts w:cs="Times New Roman"/>
    </w:rPr>
  </w:style>
  <w:style w:type="paragraph" w:customStyle="1" w:styleId="articlevin-line-down">
    <w:name w:val="articlevin-line-down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---------articletext">
    <w:name w:val="article----------articletext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olna">
    <w:name w:val="volna"/>
    <w:basedOn w:val="a0"/>
    <w:uiPriority w:val="99"/>
    <w:rsid w:val="00586FE6"/>
    <w:rPr>
      <w:rFonts w:cs="Times New Roman"/>
    </w:rPr>
  </w:style>
  <w:style w:type="character" w:customStyle="1" w:styleId="char-style-override-11">
    <w:name w:val="char-style-override-11"/>
    <w:basedOn w:val="a0"/>
    <w:uiPriority w:val="99"/>
    <w:rsid w:val="00586FE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6F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61D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87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7EBA"/>
    <w:rPr>
      <w:rFonts w:ascii="Courier New" w:hAnsi="Courier New" w:cs="Courier New"/>
      <w:sz w:val="20"/>
      <w:szCs w:val="20"/>
    </w:rPr>
  </w:style>
  <w:style w:type="character" w:customStyle="1" w:styleId="rvts9">
    <w:name w:val="rvts9"/>
    <w:basedOn w:val="a0"/>
    <w:uiPriority w:val="99"/>
    <w:rsid w:val="00944F0F"/>
    <w:rPr>
      <w:rFonts w:cs="Times New Roman"/>
    </w:rPr>
  </w:style>
  <w:style w:type="paragraph" w:customStyle="1" w:styleId="rvps2">
    <w:name w:val="rvps2"/>
    <w:basedOn w:val="a"/>
    <w:uiPriority w:val="99"/>
    <w:rsid w:val="00944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622">
          <w:marLeft w:val="0"/>
          <w:marRight w:val="0"/>
          <w:marTop w:val="0"/>
          <w:marBottom w:val="0"/>
          <w:divBdr>
            <w:top w:val="single" w:sz="6" w:space="0" w:color="80C8BE"/>
            <w:left w:val="single" w:sz="6" w:space="12" w:color="80C8BE"/>
            <w:bottom w:val="single" w:sz="6" w:space="0" w:color="80C8BE"/>
            <w:right w:val="single" w:sz="6" w:space="12" w:color="80C8BE"/>
          </w:divBdr>
          <w:divsChild>
            <w:div w:id="37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4626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4633">
                                  <w:marLeft w:val="0"/>
                                  <w:marRight w:val="0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462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single" w:sz="6" w:space="6" w:color="DBDBDB"/>
                                        <w:right w:val="none" w:sz="0" w:space="0" w:color="auto"/>
                                      </w:divBdr>
                                    </w:div>
                                    <w:div w:id="3716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67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28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3716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38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3716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42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  <w:divsChild>
                                        <w:div w:id="37161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14647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37161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57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371614658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371614659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371614660">
                                      <w:marLeft w:val="-237"/>
                                      <w:marRight w:val="-2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4627">
                                          <w:marLeft w:val="0"/>
                                          <w:marRight w:val="237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4664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14661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614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4655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63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46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464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Рада</cp:lastModifiedBy>
  <cp:revision>17</cp:revision>
  <dcterms:created xsi:type="dcterms:W3CDTF">2018-10-17T07:23:00Z</dcterms:created>
  <dcterms:modified xsi:type="dcterms:W3CDTF">2018-11-30T06:47:00Z</dcterms:modified>
</cp:coreProperties>
</file>