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82A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t>Наказ / розпорядчий документ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ind w:left="60"/>
              <w:jc w:val="center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r>
              <w:t>Розпорядження №73 від 18.06.2019 року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( 0114030 )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( 0824 )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jc w:val="both"/>
            </w:pPr>
            <w:r>
              <w:rPr>
                <w:sz w:val="24"/>
              </w:rPr>
              <w:t>Забезпечення діяльності бібліотек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82A1F" w:rsidRDefault="007E034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68442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68442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t>Закон України "</w:t>
            </w:r>
            <w:r>
              <w:t>Про культуру","Про охорону культурної спадщини",Указ Президента України  №485/2000"Про державну підтримку клубних закладів",№490/2000"Про невідкладні заходи щодо розвитку бібліотек України"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 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2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2A1F" w:rsidRDefault="00F82A1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5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5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5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68 442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68 442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68 442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68 442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5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Про програму розвитку культури і мистецтва,охорони культурної спадщини та забезпечення прав громадян на бібліотечне обслуговування на 2019-2020р.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67 442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67 442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67 442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rPr>
                <w:b/>
              </w:rPr>
              <w:t>67 442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кількість установ (бібліотек)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F82A1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середнє число окладів (ставок) - усього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штатний 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середнє число окладів (ставок) керівних працівників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0,50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кількість книговидач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план роботи на 2019 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8000,00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число читачів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proofErr w:type="spellStart"/>
            <w:r>
              <w:t>тис.осіб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план роботи на 2019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proofErr w:type="spellStart"/>
            <w:r>
              <w:t>тис.примірників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F82A1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2652,00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2652,00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бібліотечний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F82A1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16940,00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16940,00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82A1F" w:rsidRDefault="007E034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F82A1F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</w:pPr>
            <w:r>
              <w:t>кількість книговидач на одного працівника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F82A1F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82A1F" w:rsidRDefault="00F82A1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82A1F" w:rsidRDefault="00F82A1F">
            <w:pPr>
              <w:pStyle w:val="EMPTYCELLSTYLE"/>
            </w:pP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82A1F" w:rsidRDefault="00F82A1F">
            <w:pPr>
              <w:pStyle w:val="EMPTYCELLSTYLE"/>
            </w:pP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82A1F" w:rsidRDefault="00F82A1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2A1F" w:rsidRDefault="007E0342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F82A1F" w:rsidRDefault="00F82A1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82A1F" w:rsidRDefault="007E0342">
            <w:r>
              <w:rPr>
                <w:b/>
              </w:rPr>
              <w:t>Розпорядження №73 від 18.06.2019 року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  <w:tr w:rsidR="00F82A1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2A1F" w:rsidRDefault="007E034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82A1F" w:rsidRDefault="00F82A1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82A1F" w:rsidRDefault="00F82A1F">
            <w:pPr>
              <w:pStyle w:val="EMPTYCELLSTYLE"/>
            </w:pPr>
          </w:p>
        </w:tc>
        <w:tc>
          <w:tcPr>
            <w:tcW w:w="1800" w:type="dxa"/>
          </w:tcPr>
          <w:p w:rsidR="00F82A1F" w:rsidRDefault="00F82A1F">
            <w:pPr>
              <w:pStyle w:val="EMPTYCELLSTYLE"/>
            </w:pPr>
          </w:p>
        </w:tc>
        <w:tc>
          <w:tcPr>
            <w:tcW w:w="400" w:type="dxa"/>
          </w:tcPr>
          <w:p w:rsidR="00F82A1F" w:rsidRDefault="00F82A1F">
            <w:pPr>
              <w:pStyle w:val="EMPTYCELLSTYLE"/>
            </w:pPr>
          </w:p>
        </w:tc>
      </w:tr>
    </w:tbl>
    <w:p w:rsidR="00000000" w:rsidRDefault="007E034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82A1F"/>
    <w:rsid w:val="007E0342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2019-06-19T11:39:00Z</dcterms:created>
  <dcterms:modified xsi:type="dcterms:W3CDTF">2019-06-19T11:39:00Z</dcterms:modified>
</cp:coreProperties>
</file>