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0114060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4060</w:t>
            </w:r>
          </w:p>
        </w:tc>
        <w:tc>
          <w:tcPr>
            <w:tcW w:w="176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0828</w:t>
            </w:r>
          </w:p>
        </w:tc>
        <w:tc>
          <w:tcPr>
            <w:tcW w:w="6520" w:type="dxa"/>
            <w:gridSpan w:val="58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t>23314511000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68045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76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6520" w:type="dxa"/>
            <w:gridSpan w:val="58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680456">
            <w:pPr>
              <w:spacing w:after="200"/>
              <w:ind w:left="500"/>
            </w:pPr>
            <w:r>
              <w:t>Надання  послуг з організації культурного дозвілля населення,сприяння всебічному розвитку культури,мистецтва,відродженню і подальшому розвитку культурних традицій,збереженню культурної спадщини,забезпечення доступу населення  до надбаньукраїнського мистецт</w:t>
            </w:r>
            <w:r>
              <w:t>ва шляхом показу вистав та концертних програм.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527E0" w:rsidRDefault="00680456">
            <w:pPr>
              <w:ind w:left="50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680456">
            <w:pPr>
              <w:ind w:left="500"/>
            </w:pPr>
            <w:r>
              <w:t>План заходів та кошторис витрат в 2020 році з реалізації програми розвитку культури і мистецтва,охорону культурної спадщини .</w:t>
            </w: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63 278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63 278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3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2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2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2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53 410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53 410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29 453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29 453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63 570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17 542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17 542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11 937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11 937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14 547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14 547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19 600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19 600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17 695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17 695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3 359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3 359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4 193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4 193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9 000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3527E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2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2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68 656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68 656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72 844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72 844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15 711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15 711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16 669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16 669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2 160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2 160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2 292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2 292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9 719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9 719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10 312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10 312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63 278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2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у тому числі будинків культури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внутрішний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у тому числі будинків культури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внутрішний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527E0" w:rsidRDefault="003527E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46 660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21 218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43 764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47 265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49 805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46 585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20 976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41 364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44 673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48 247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3 027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4 062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8 776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9 478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10 208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1 861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2 087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3 447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3 723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4 010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1 862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2 086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7 583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8 190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8 821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4 136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4 467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4 811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1 862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2 086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3 447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3 723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4 010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53 410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29 453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63 570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68 656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72 844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культури і мистецтва,охорону культурної спадщини та забезпечення прав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63 278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63 278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мгромадян нбібліотечне обслуговування на 2019-2020 роки</w:t>
            </w: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89 117</w:t>
            </w: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2) місц</w:t>
            </w:r>
            <w:r>
              <w:rPr>
                <w:b/>
              </w:rPr>
              <w:t>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культури і мистецтва,охорону культурної спадщини та забезпечення прав мгромадян нбібліотечне обслуговування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№39/6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96 246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102 117</w:t>
            </w: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680456">
            <w:pPr>
              <w:spacing w:after="200"/>
            </w:pPr>
            <w:r>
              <w:t>Кошти    використовувались відповідно затвердже</w:t>
            </w:r>
            <w:r>
              <w:t>ного кошторису .В 2020 році передбачаємо збільшення коштів на виплату заробітної плати та нан нарахування ,це повязано з тим ,що директора сільського будинку культури переведено з 0,5 посадового окладу на 1.0 посадовий оклад.</w:t>
            </w: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 xml:space="preserve">14. </w:t>
            </w:r>
            <w:r>
              <w:rPr>
                <w:b/>
              </w:rPr>
              <w:t xml:space="preserve">Бюджетні зобов'язання у 2018 і 2020 роках : 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55 282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53 410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53 410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18 004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17 542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17 542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19 700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19 600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19 600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6 317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3 358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3 358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99 303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93 910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t>2020 рік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29 453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29 453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11 937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11 937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17 695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17 695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4 193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4 193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63 278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7E0" w:rsidRDefault="006804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3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7E0" w:rsidRDefault="003527E0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left="60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3527E0">
            <w:pPr>
              <w:jc w:val="center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3527E0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7E0" w:rsidRDefault="00680456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7E0" w:rsidRDefault="003527E0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t>Сарана Олексій Дмитрович</w:t>
            </w: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8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r>
              <w:t>Канак Антоніна Павлівна</w:t>
            </w: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  <w:tr w:rsidR="003527E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7E0" w:rsidRDefault="006804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</w:tcPr>
          <w:p w:rsidR="003527E0" w:rsidRDefault="003527E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527E0" w:rsidRDefault="003527E0">
            <w:pPr>
              <w:pStyle w:val="EMPTYCELLSTYLE"/>
            </w:pPr>
          </w:p>
        </w:tc>
      </w:tr>
    </w:tbl>
    <w:p w:rsidR="00680456" w:rsidRDefault="00680456"/>
    <w:sectPr w:rsidR="00680456" w:rsidSect="003527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3527E0"/>
    <w:rsid w:val="003527E0"/>
    <w:rsid w:val="004843EC"/>
    <w:rsid w:val="0068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527E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2664</Words>
  <Characters>15187</Characters>
  <Application>Microsoft Office Word</Application>
  <DocSecurity>0</DocSecurity>
  <Lines>126</Lines>
  <Paragraphs>35</Paragraphs>
  <ScaleCrop>false</ScaleCrop>
  <Company>Microsoft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2019-12-28T07:26:00Z</dcterms:created>
  <dcterms:modified xsi:type="dcterms:W3CDTF">2019-12-28T07:26:00Z</dcterms:modified>
</cp:coreProperties>
</file>